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784F" w14:textId="77777777" w:rsidR="00405B1D" w:rsidRPr="00DE2844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2A5283">
        <w:rPr>
          <w:rFonts w:ascii="Times New Roman" w:hAnsi="Times New Roman" w:cs="Times New Roman"/>
          <w:color w:val="auto"/>
          <w:sz w:val="24"/>
          <w:szCs w:val="24"/>
        </w:rPr>
        <w:t>) ПАО «Россети Ленэнерго</w:t>
      </w:r>
      <w:r w:rsidR="00C5059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3EF46C48" w14:textId="77777777" w:rsidR="007C5088" w:rsidRPr="00DE2844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  <w:r w:rsidR="002A528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СЕТЕВОЙ ОРГАНИЗАЦИИ</w:t>
      </w:r>
    </w:p>
    <w:p w14:paraId="41EACA1E" w14:textId="043E1C89" w:rsidR="005F2F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3F7C1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физических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лиц</w:t>
      </w:r>
      <w:r w:rsidR="002A528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с максимальной мощностью до 15 кВт, а также энергопринимающих устройств юридических лиц и 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индивидуальных предпринимателей 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 максимальной мощностью до 15</w:t>
      </w:r>
      <w:r w:rsidR="0058149F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0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кВт</w:t>
      </w:r>
      <w:r w:rsidR="002A528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 xml:space="preserve">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 w:rsidR="002A528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кВ</w:t>
      </w:r>
      <w:proofErr w:type="spellEnd"/>
      <w:r w:rsidR="005D2A1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 ниже</w:t>
      </w:r>
    </w:p>
    <w:p w14:paraId="6758B112" w14:textId="77777777" w:rsidR="00872538" w:rsidRPr="00DE2844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08DE704" w14:textId="77777777" w:rsidR="002A5283" w:rsidRDefault="008C2E25" w:rsidP="002A5283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</w:p>
    <w:p w14:paraId="6EE4585F" w14:textId="77777777" w:rsidR="002A5283" w:rsidRPr="002A5283" w:rsidRDefault="002A5283" w:rsidP="002A5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3">
        <w:rPr>
          <w:rFonts w:ascii="Times New Roman" w:eastAsia="Calibri" w:hAnsi="Times New Roman" w:cs="Times New Roman"/>
          <w:sz w:val="24"/>
          <w:szCs w:val="24"/>
        </w:rPr>
        <w:t>Физическое лицо (далее - заявитель)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14:paraId="491F1F22" w14:textId="77777777" w:rsidR="002A5283" w:rsidRPr="002A5283" w:rsidRDefault="002A5283" w:rsidP="002A5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283">
        <w:rPr>
          <w:rFonts w:ascii="Times New Roman" w:eastAsia="Calibri" w:hAnsi="Times New Roman" w:cs="Times New Roman"/>
          <w:sz w:val="24"/>
          <w:szCs w:val="24"/>
        </w:rPr>
        <w:t>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устройств.</w:t>
      </w:r>
    </w:p>
    <w:p w14:paraId="49FA4779" w14:textId="77777777" w:rsidR="009E1F81" w:rsidRDefault="008C2E25" w:rsidP="002A5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E2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94CAEB" w14:textId="77777777" w:rsidR="009E1F81" w:rsidRPr="009E1F81" w:rsidRDefault="009E1F81" w:rsidP="009E1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81">
        <w:rPr>
          <w:rFonts w:ascii="Times New Roman" w:eastAsia="Calibri" w:hAnsi="Times New Roman" w:cs="Times New Roman"/>
          <w:sz w:val="24"/>
          <w:szCs w:val="24"/>
        </w:rPr>
        <w:t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20</w:t>
      </w:r>
      <w:r w:rsidRPr="009E1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1F81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9E1F81">
        <w:rPr>
          <w:rFonts w:ascii="Times New Roman" w:eastAsia="Calibri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(одно и то же лицо вправе воспользоваться данной льготой не более одного раза в течение 3 лет.</w:t>
      </w:r>
    </w:p>
    <w:p w14:paraId="64396AAB" w14:textId="77777777" w:rsidR="009E1F81" w:rsidRPr="009E1F81" w:rsidRDefault="009E1F81" w:rsidP="009E1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81">
        <w:rPr>
          <w:rFonts w:ascii="Times New Roman" w:eastAsia="Calibri" w:hAnsi="Times New Roman" w:cs="Times New Roman"/>
          <w:sz w:val="24"/>
          <w:szCs w:val="24"/>
        </w:rPr>
        <w:t xml:space="preserve">Плата за технологическое присоединение в размере 550 рублей не устанавливается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9E1F81">
        <w:rPr>
          <w:rFonts w:ascii="Times New Roman" w:eastAsia="Calibri" w:hAnsi="Times New Roman" w:cs="Times New Roman"/>
          <w:sz w:val="24"/>
          <w:szCs w:val="24"/>
        </w:rPr>
        <w:t>энергопринимающие</w:t>
      </w:r>
      <w:proofErr w:type="spellEnd"/>
      <w:r w:rsidRPr="009E1F81">
        <w:rPr>
          <w:rFonts w:ascii="Times New Roman" w:eastAsia="Calibri" w:hAnsi="Times New Roman" w:cs="Times New Roman"/>
          <w:sz w:val="24"/>
          <w:szCs w:val="24"/>
        </w:rPr>
        <w:t xml:space="preserve"> устройства. А также при технологическом присоединении энергопринимающих устройств, расположенных в жилых помещениях многоквартирных домов.</w:t>
      </w:r>
    </w:p>
    <w:p w14:paraId="09BDFF09" w14:textId="77777777" w:rsidR="009E1F81" w:rsidRPr="009E1F81" w:rsidRDefault="009E1F81" w:rsidP="009E1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81">
        <w:rPr>
          <w:rFonts w:ascii="Times New Roman" w:eastAsia="Calibri" w:hAnsi="Times New Roman" w:cs="Times New Roman"/>
          <w:sz w:val="24"/>
          <w:szCs w:val="24"/>
        </w:rPr>
        <w:t>В случае несоблюдения вышеприведенных критериев размер платы за технологическое присоединение определяется  в соответствии  со ставками платы за технологическое присоединение, утвержденными уполномоченным органом исполнительной власти в области государственного регулирования тарифов (Комитет по тарифам Правительства Санкт-Петербурга, Комитет по тарифам и ценовой политики Правительства Ленинградской области).</w:t>
      </w:r>
    </w:p>
    <w:p w14:paraId="58EDB8BC" w14:textId="77777777" w:rsidR="00A74029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4F48A" w14:textId="77777777" w:rsidR="00A74029" w:rsidRPr="00A74029" w:rsidRDefault="00A74029" w:rsidP="00A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29">
        <w:rPr>
          <w:rFonts w:ascii="Times New Roman" w:eastAsia="Calibri" w:hAnsi="Times New Roman" w:cs="Times New Roman"/>
          <w:sz w:val="24"/>
          <w:szCs w:val="24"/>
        </w:rPr>
        <w:t>Присоединение впервые вводимых в эксплуатацию, ранее присоединенных энергопринимающих устройств, максимальная мощность которых увеличивается, а также ранее присоединенных энергопринимающих устройств, в отношении которых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2EB62FB8" w14:textId="77777777" w:rsidR="00A74029" w:rsidRDefault="00A74029" w:rsidP="00A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E517AAA" w14:textId="77777777" w:rsidR="00A74029" w:rsidRDefault="008C2E25" w:rsidP="00A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РЕЗУЛЬТАТ ОКАЗАНИЯ УСЛУГИ (ПРОЦЕССА):</w:t>
      </w:r>
      <w:r w:rsidRPr="00DE2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B96E9" w14:textId="77777777" w:rsidR="00A74029" w:rsidRPr="00A74029" w:rsidRDefault="00A74029" w:rsidP="00A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029">
        <w:rPr>
          <w:rFonts w:ascii="Times New Roman" w:eastAsia="Calibri" w:hAnsi="Times New Roman" w:cs="Times New Roman"/>
          <w:sz w:val="24"/>
          <w:szCs w:val="24"/>
        </w:rPr>
        <w:t xml:space="preserve">Обеспечение сетевой организацией возможности осуществить заявителем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proofErr w:type="spellStart"/>
      <w:r w:rsidRPr="00A74029">
        <w:rPr>
          <w:rFonts w:ascii="Times New Roman" w:eastAsia="Calibri" w:hAnsi="Times New Roman" w:cs="Times New Roman"/>
          <w:sz w:val="24"/>
          <w:szCs w:val="24"/>
        </w:rPr>
        <w:t>энергопринимающими</w:t>
      </w:r>
      <w:proofErr w:type="spellEnd"/>
      <w:r w:rsidRPr="00A74029">
        <w:rPr>
          <w:rFonts w:ascii="Times New Roman" w:eastAsia="Calibri" w:hAnsi="Times New Roman" w:cs="Times New Roman"/>
          <w:sz w:val="24"/>
          <w:szCs w:val="24"/>
        </w:rPr>
        <w:t xml:space="preserve"> устройствами заявителя электрической энергии (мощности) в соответствии с законодательством РФ и на основании договоров, заключаемых заявителем на розничном рынке в целях обеспечения поставки электрической энергии. Технологическое присоединение энергопринимающих устройств заявителя.</w:t>
      </w:r>
    </w:p>
    <w:p w14:paraId="2139499B" w14:textId="77777777" w:rsidR="006718FB" w:rsidRDefault="000825BA" w:rsidP="00A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14:paraId="2DC9746F" w14:textId="77777777" w:rsidR="006718FB" w:rsidRDefault="00195358" w:rsidP="00A74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4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DE284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2844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</w:t>
      </w:r>
      <w:r w:rsidRPr="00B37DA3">
        <w:rPr>
          <w:rFonts w:ascii="Times New Roman" w:hAnsi="Times New Roman" w:cs="Times New Roman"/>
          <w:sz w:val="24"/>
          <w:szCs w:val="24"/>
        </w:rPr>
        <w:t xml:space="preserve">существующих электрических сетей до границ участка, на котором расположены присоединяемые </w:t>
      </w:r>
      <w:proofErr w:type="spellStart"/>
      <w:r w:rsidRPr="00B37DA3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B37DA3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6718FB">
        <w:rPr>
          <w:rFonts w:ascii="Times New Roman" w:hAnsi="Times New Roman" w:cs="Times New Roman"/>
          <w:sz w:val="24"/>
          <w:szCs w:val="24"/>
        </w:rPr>
        <w:t>:</w:t>
      </w:r>
    </w:p>
    <w:p w14:paraId="248497D9" w14:textId="77777777" w:rsidR="00654986" w:rsidRPr="00654986" w:rsidRDefault="00A64A28" w:rsidP="0065498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7DA3">
        <w:rPr>
          <w:rFonts w:ascii="Times New Roman" w:hAnsi="Times New Roman" w:cs="Times New Roman"/>
          <w:sz w:val="24"/>
          <w:szCs w:val="24"/>
        </w:rPr>
        <w:t xml:space="preserve"> </w:t>
      </w:r>
      <w:r w:rsidR="00654986" w:rsidRPr="00654986">
        <w:rPr>
          <w:rFonts w:ascii="Times New Roman" w:eastAsia="Calibri" w:hAnsi="Times New Roman" w:cs="Times New Roman"/>
          <w:sz w:val="24"/>
          <w:szCs w:val="24"/>
        </w:rPr>
        <w:t xml:space="preserve">если от сетевой организации </w:t>
      </w:r>
      <w:r w:rsidR="00654986" w:rsidRPr="00654986">
        <w:rPr>
          <w:rFonts w:ascii="Times New Roman" w:eastAsia="Calibri" w:hAnsi="Times New Roman" w:cs="Times New Roman"/>
          <w:b/>
          <w:sz w:val="24"/>
          <w:szCs w:val="24"/>
        </w:rPr>
        <w:t>не требуется выполнение работ по строительству (реконструкции)</w:t>
      </w:r>
      <w:r w:rsidR="00654986" w:rsidRPr="00654986">
        <w:rPr>
          <w:rFonts w:ascii="Times New Roman" w:eastAsia="Calibri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</w:t>
      </w:r>
      <w:r w:rsidR="00654986" w:rsidRPr="00654986">
        <w:rPr>
          <w:rFonts w:ascii="Times New Roman" w:eastAsia="Calibri" w:hAnsi="Times New Roman" w:cs="Times New Roman"/>
          <w:b/>
          <w:sz w:val="24"/>
          <w:szCs w:val="24"/>
        </w:rPr>
        <w:t>- 4 месяца</w:t>
      </w:r>
      <w:r w:rsidR="00654986" w:rsidRPr="00654986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договора;</w:t>
      </w:r>
    </w:p>
    <w:p w14:paraId="0DC22B4A" w14:textId="77777777" w:rsidR="00654986" w:rsidRPr="00654986" w:rsidRDefault="00654986" w:rsidP="0065498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4986">
        <w:rPr>
          <w:rFonts w:ascii="Times New Roman" w:eastAsia="Calibri" w:hAnsi="Times New Roman" w:cs="Times New Roman"/>
          <w:sz w:val="24"/>
          <w:szCs w:val="24"/>
        </w:rPr>
        <w:t xml:space="preserve">если от сетевой организации </w:t>
      </w:r>
      <w:r w:rsidRPr="00654986">
        <w:rPr>
          <w:rFonts w:ascii="Times New Roman" w:eastAsia="Calibri" w:hAnsi="Times New Roman" w:cs="Times New Roman"/>
          <w:b/>
          <w:sz w:val="24"/>
          <w:szCs w:val="24"/>
        </w:rPr>
        <w:t>требуется выполнение работ</w:t>
      </w:r>
      <w:r w:rsidRPr="00654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986">
        <w:rPr>
          <w:rFonts w:ascii="Times New Roman" w:eastAsia="Calibri" w:hAnsi="Times New Roman" w:cs="Times New Roman"/>
          <w:b/>
          <w:sz w:val="24"/>
          <w:szCs w:val="24"/>
        </w:rPr>
        <w:t>по строительству (реконструкции)</w:t>
      </w:r>
      <w:r w:rsidRPr="00654986">
        <w:rPr>
          <w:rFonts w:ascii="Times New Roman" w:eastAsia="Calibri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– </w:t>
      </w:r>
      <w:r w:rsidRPr="00654986">
        <w:rPr>
          <w:rFonts w:ascii="Times New Roman" w:eastAsia="Calibri" w:hAnsi="Times New Roman" w:cs="Times New Roman"/>
          <w:b/>
          <w:sz w:val="24"/>
          <w:szCs w:val="24"/>
        </w:rPr>
        <w:t>6 месяцев</w:t>
      </w:r>
      <w:r w:rsidRPr="00654986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договора. </w:t>
      </w:r>
    </w:p>
    <w:p w14:paraId="6D0365FC" w14:textId="77777777" w:rsidR="00195358" w:rsidRDefault="00654986" w:rsidP="0065498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4986">
        <w:rPr>
          <w:rFonts w:ascii="Times New Roman" w:eastAsia="Calibri" w:hAnsi="Times New Roman" w:cs="Times New Roman"/>
          <w:sz w:val="24"/>
          <w:szCs w:val="24"/>
        </w:rPr>
        <w:t>-</w:t>
      </w:r>
      <w:r w:rsidRPr="00654986">
        <w:rPr>
          <w:rFonts w:ascii="Times New Roman" w:eastAsia="Calibri" w:hAnsi="Times New Roman" w:cs="Times New Roman"/>
          <w:sz w:val="24"/>
          <w:szCs w:val="24"/>
        </w:rPr>
        <w:tab/>
        <w:t xml:space="preserve">при несоблюдении всех вышеуказанных условий - </w:t>
      </w:r>
      <w:r w:rsidRPr="00654986">
        <w:rPr>
          <w:rFonts w:ascii="Times New Roman" w:eastAsia="Calibri" w:hAnsi="Times New Roman" w:cs="Times New Roman"/>
          <w:b/>
          <w:sz w:val="24"/>
          <w:szCs w:val="24"/>
        </w:rPr>
        <w:t>1 год</w:t>
      </w:r>
      <w:r w:rsidRPr="00654986">
        <w:rPr>
          <w:rFonts w:ascii="Times New Roman" w:eastAsia="Calibri" w:hAnsi="Times New Roman" w:cs="Times New Roman"/>
          <w:sz w:val="24"/>
          <w:szCs w:val="24"/>
        </w:rPr>
        <w:t xml:space="preserve"> с даты заключения договора.</w:t>
      </w:r>
    </w:p>
    <w:p w14:paraId="366C65EA" w14:textId="77777777" w:rsidR="001C5DE7" w:rsidRPr="00A86E26" w:rsidRDefault="001C5DE7" w:rsidP="001C5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E26">
        <w:rPr>
          <w:rFonts w:ascii="Times New Roman" w:hAnsi="Times New Roman" w:cs="Times New Roman"/>
          <w:b/>
          <w:sz w:val="24"/>
          <w:szCs w:val="24"/>
        </w:rPr>
        <w:t xml:space="preserve">Для потребителей, подпадающих под критерии целевой модели «Технологическое присоединение к электрическим сетям», утвержденной распоряжением Правительства РФ от 31.01.2017 № 147-р, </w:t>
      </w:r>
      <w:r w:rsidRPr="00A86E26">
        <w:rPr>
          <w:rFonts w:ascii="Times New Roman" w:hAnsi="Times New Roman" w:cs="Times New Roman"/>
          <w:sz w:val="24"/>
          <w:szCs w:val="24"/>
        </w:rPr>
        <w:t>предусмотрены сокращенные сроки осуществления технологического присо</w:t>
      </w:r>
      <w:bookmarkStart w:id="0" w:name="_GoBack"/>
      <w:bookmarkEnd w:id="0"/>
      <w:r w:rsidRPr="00A86E26">
        <w:rPr>
          <w:rFonts w:ascii="Times New Roman" w:hAnsi="Times New Roman" w:cs="Times New Roman"/>
          <w:sz w:val="24"/>
          <w:szCs w:val="24"/>
        </w:rPr>
        <w:t>единения.</w:t>
      </w:r>
    </w:p>
    <w:p w14:paraId="778E951A" w14:textId="77777777" w:rsidR="001C5DE7" w:rsidRPr="00A86E26" w:rsidRDefault="001C5DE7" w:rsidP="001C5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E26">
        <w:rPr>
          <w:rFonts w:ascii="Times New Roman" w:hAnsi="Times New Roman" w:cs="Times New Roman"/>
          <w:sz w:val="24"/>
          <w:szCs w:val="24"/>
        </w:rPr>
        <w:t xml:space="preserve">- </w:t>
      </w:r>
      <w:r w:rsidRPr="00A86E26">
        <w:rPr>
          <w:rFonts w:ascii="Times New Roman" w:hAnsi="Times New Roman" w:cs="Times New Roman"/>
          <w:b/>
          <w:sz w:val="24"/>
          <w:szCs w:val="24"/>
        </w:rPr>
        <w:t>заключение договора</w:t>
      </w:r>
      <w:r w:rsidRPr="00A86E26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и договора, обеспечивающего продажу электрической энергии - </w:t>
      </w:r>
      <w:r w:rsidRPr="00A86E26">
        <w:rPr>
          <w:rFonts w:ascii="Times New Roman" w:hAnsi="Times New Roman" w:cs="Times New Roman"/>
          <w:b/>
          <w:sz w:val="24"/>
          <w:szCs w:val="24"/>
        </w:rPr>
        <w:t>не более 10 дней</w:t>
      </w:r>
      <w:r w:rsidRPr="00A86E26">
        <w:rPr>
          <w:rFonts w:ascii="Times New Roman" w:hAnsi="Times New Roman" w:cs="Times New Roman"/>
          <w:sz w:val="24"/>
          <w:szCs w:val="24"/>
        </w:rPr>
        <w:t>;</w:t>
      </w:r>
    </w:p>
    <w:p w14:paraId="33FAF125" w14:textId="77777777" w:rsidR="001C5DE7" w:rsidRPr="00A86E26" w:rsidRDefault="001C5DE7" w:rsidP="001C5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E26">
        <w:rPr>
          <w:rFonts w:ascii="Times New Roman" w:hAnsi="Times New Roman" w:cs="Times New Roman"/>
          <w:sz w:val="24"/>
          <w:szCs w:val="24"/>
        </w:rPr>
        <w:t xml:space="preserve">- </w:t>
      </w:r>
      <w:r w:rsidRPr="00A86E26">
        <w:rPr>
          <w:rFonts w:ascii="Times New Roman" w:hAnsi="Times New Roman" w:cs="Times New Roman"/>
          <w:b/>
          <w:sz w:val="24"/>
          <w:szCs w:val="24"/>
        </w:rPr>
        <w:t>исполнение мероприятий</w:t>
      </w:r>
      <w:r w:rsidRPr="00A86E26">
        <w:rPr>
          <w:rFonts w:ascii="Times New Roman" w:hAnsi="Times New Roman" w:cs="Times New Roman"/>
          <w:sz w:val="24"/>
          <w:szCs w:val="24"/>
        </w:rPr>
        <w:t xml:space="preserve"> по договору технологического присоединения- </w:t>
      </w:r>
      <w:r w:rsidRPr="00A86E26">
        <w:rPr>
          <w:rFonts w:ascii="Times New Roman" w:hAnsi="Times New Roman" w:cs="Times New Roman"/>
          <w:b/>
          <w:sz w:val="24"/>
          <w:szCs w:val="24"/>
        </w:rPr>
        <w:t>не более 70 дней</w:t>
      </w:r>
      <w:r w:rsidRPr="00A86E26">
        <w:rPr>
          <w:rFonts w:ascii="Times New Roman" w:hAnsi="Times New Roman" w:cs="Times New Roman"/>
          <w:sz w:val="24"/>
          <w:szCs w:val="24"/>
        </w:rPr>
        <w:t>;</w:t>
      </w:r>
    </w:p>
    <w:p w14:paraId="3D01E518" w14:textId="77777777" w:rsidR="001C5DE7" w:rsidRPr="00DF4081" w:rsidRDefault="001C5DE7" w:rsidP="001C5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6E26">
        <w:rPr>
          <w:rFonts w:ascii="Times New Roman" w:hAnsi="Times New Roman" w:cs="Times New Roman"/>
          <w:sz w:val="24"/>
          <w:szCs w:val="24"/>
        </w:rPr>
        <w:t xml:space="preserve">- проверка выполнения технических условий, </w:t>
      </w:r>
      <w:r w:rsidRPr="00A86E26">
        <w:rPr>
          <w:rFonts w:ascii="Times New Roman" w:hAnsi="Times New Roman" w:cs="Times New Roman"/>
          <w:b/>
          <w:sz w:val="24"/>
          <w:szCs w:val="24"/>
        </w:rPr>
        <w:t>фактическая</w:t>
      </w:r>
      <w:r w:rsidRPr="00A86E26">
        <w:rPr>
          <w:rFonts w:ascii="Times New Roman" w:hAnsi="Times New Roman" w:cs="Times New Roman"/>
          <w:sz w:val="24"/>
          <w:szCs w:val="24"/>
        </w:rPr>
        <w:t xml:space="preserve"> </w:t>
      </w:r>
      <w:r w:rsidRPr="00A86E26">
        <w:rPr>
          <w:rFonts w:ascii="Times New Roman" w:hAnsi="Times New Roman" w:cs="Times New Roman"/>
          <w:b/>
          <w:sz w:val="24"/>
          <w:szCs w:val="24"/>
        </w:rPr>
        <w:t>подача напряжения и выдача акта об осуществлении технологического</w:t>
      </w:r>
      <w:r w:rsidRPr="00A86E26">
        <w:rPr>
          <w:rFonts w:ascii="Times New Roman" w:hAnsi="Times New Roman" w:cs="Times New Roman"/>
          <w:sz w:val="24"/>
          <w:szCs w:val="24"/>
        </w:rPr>
        <w:t xml:space="preserve"> </w:t>
      </w:r>
      <w:r w:rsidRPr="00A86E26">
        <w:rPr>
          <w:rFonts w:ascii="Times New Roman" w:hAnsi="Times New Roman" w:cs="Times New Roman"/>
          <w:b/>
          <w:sz w:val="24"/>
          <w:szCs w:val="24"/>
        </w:rPr>
        <w:t>присоединения</w:t>
      </w:r>
      <w:r w:rsidRPr="00A86E26">
        <w:rPr>
          <w:rFonts w:ascii="Times New Roman" w:hAnsi="Times New Roman" w:cs="Times New Roman"/>
          <w:sz w:val="24"/>
          <w:szCs w:val="24"/>
        </w:rPr>
        <w:t xml:space="preserve"> – </w:t>
      </w:r>
      <w:r w:rsidRPr="00A86E26">
        <w:rPr>
          <w:rFonts w:ascii="Times New Roman" w:hAnsi="Times New Roman" w:cs="Times New Roman"/>
          <w:b/>
          <w:sz w:val="24"/>
          <w:szCs w:val="24"/>
        </w:rPr>
        <w:t>не более 10 дней</w:t>
      </w:r>
      <w:r w:rsidRPr="00A86E26">
        <w:rPr>
          <w:rFonts w:ascii="Times New Roman" w:hAnsi="Times New Roman" w:cs="Times New Roman"/>
          <w:sz w:val="24"/>
          <w:szCs w:val="24"/>
        </w:rPr>
        <w:t>.</w:t>
      </w:r>
    </w:p>
    <w:p w14:paraId="0CBE9C98" w14:textId="77777777" w:rsidR="001C5DE7" w:rsidRDefault="001C5DE7" w:rsidP="0065498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78A22A7" w14:textId="77777777" w:rsidR="000823E4" w:rsidRDefault="000823E4" w:rsidP="0065498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9601351" w14:textId="77777777" w:rsidR="000823E4" w:rsidRDefault="000823E4" w:rsidP="0065498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5D20289" w14:textId="77777777" w:rsidR="000823E4" w:rsidRDefault="000823E4" w:rsidP="0065498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4B82220" w14:textId="77777777" w:rsidR="000823E4" w:rsidRPr="00654986" w:rsidRDefault="000823E4" w:rsidP="00654986">
      <w:p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7021617" w14:textId="77777777" w:rsidR="000653F9" w:rsidRPr="00DE2844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932"/>
        <w:gridCol w:w="2129"/>
        <w:gridCol w:w="2835"/>
        <w:gridCol w:w="2552"/>
        <w:gridCol w:w="1761"/>
        <w:gridCol w:w="2604"/>
      </w:tblGrid>
      <w:tr w:rsidR="00727A82" w:rsidRPr="00727A82" w14:paraId="17DE9A22" w14:textId="77777777" w:rsidTr="003A5AC7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14:paraId="061662ED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23DDC729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0E2E380E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1E29217E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2AF69F4A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14:paraId="52499C6B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1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14:paraId="6D029A19" w14:textId="77777777" w:rsidR="00727A82" w:rsidRPr="00727A82" w:rsidRDefault="00727A82" w:rsidP="0072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4D0975" w:rsidRPr="00C3060A" w14:paraId="35EB8A3D" w14:textId="77777777" w:rsidTr="00150541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</w:tcBorders>
            <w:shd w:val="clear" w:color="auto" w:fill="auto"/>
          </w:tcPr>
          <w:p w14:paraId="51CBD74D" w14:textId="77777777" w:rsidR="004D0975" w:rsidRPr="00C3060A" w:rsidRDefault="004D0975" w:rsidP="0072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  <w:vMerge w:val="restart"/>
            <w:tcBorders>
              <w:top w:val="doub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40F93B8" w14:textId="77777777" w:rsidR="004D0975" w:rsidRPr="00C3060A" w:rsidRDefault="004D0975" w:rsidP="001A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об осуществлении технологического присоединения путем оплаты счета за оказание услуги и получение договора,</w:t>
            </w:r>
          </w:p>
          <w:p w14:paraId="34A2BF27" w14:textId="77777777" w:rsidR="004D0975" w:rsidRPr="00C3060A" w:rsidRDefault="004D0975" w:rsidP="001A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обеспечивающего продажу</w:t>
            </w:r>
          </w:p>
          <w:p w14:paraId="628C15AE" w14:textId="77777777" w:rsidR="004D0975" w:rsidRPr="00C3060A" w:rsidRDefault="004D0975" w:rsidP="001A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энергии</w:t>
            </w:r>
          </w:p>
          <w:p w14:paraId="33289E3C" w14:textId="77777777" w:rsidR="004D0975" w:rsidRPr="00C3060A" w:rsidRDefault="004D0975" w:rsidP="001A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(мощности) на розничном</w:t>
            </w:r>
          </w:p>
          <w:p w14:paraId="384B3E76" w14:textId="7F539C51" w:rsidR="004D0975" w:rsidRPr="00C3060A" w:rsidRDefault="004D0975" w:rsidP="001A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14:paraId="39A8067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заявки в сетевую организацию</w:t>
            </w: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0CD5A6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1.1.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 на технологическое присоединение </w:t>
            </w:r>
          </w:p>
        </w:tc>
        <w:tc>
          <w:tcPr>
            <w:tcW w:w="89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14:paraId="4D6D3A04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1.Очное обращение заявителя с заявкой в офис обслуживания потребителей;</w:t>
            </w:r>
          </w:p>
          <w:p w14:paraId="725776E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электронном виде через личный кабинет клиента                      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ПАО «</w:t>
            </w:r>
            <w:proofErr w:type="spellStart"/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РоссетиЛенэнерго</w:t>
            </w:r>
            <w:proofErr w:type="spellEnd"/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07978C0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электронном виде на сайте Портал-</w:t>
            </w:r>
            <w:proofErr w:type="spellStart"/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gramStart"/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1A28E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Почтой РФ;</w:t>
            </w:r>
          </w:p>
          <w:p w14:paraId="59A006E0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Через Единую систему строительного комплекса Санкт-Петербурга (ЕССК) на портале государственных и муниципальных услуг: https://gu.spb.ru/building/</w:t>
            </w:r>
          </w:p>
          <w:p w14:paraId="6B349B03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BA18C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у заявителя личного кабинета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потребителя, сетевая организация регистрирует личный кабинет и сообщает заявителю порядок доступа к личному кабинету потребителя, включая  первоначальный доступ к личному кабинету, регистрацию и авторизацию потребителя на безвозмездной основе.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E16196" w14:textId="77777777" w:rsidR="004D0975" w:rsidRPr="00C3060A" w:rsidRDefault="004D0975" w:rsidP="0072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1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697649" w14:textId="77777777" w:rsidR="004D0975" w:rsidRPr="00C3060A" w:rsidRDefault="004D0975" w:rsidP="0072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Пункты  8, 9,10, 14,12 (1), 103-109 Правил технологического присоединения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 xml:space="preserve"> энергопринимающих устройств потребителей электрической энергии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D0975" w:rsidRPr="00C3060A" w14:paraId="176B4B6E" w14:textId="77777777" w:rsidTr="00150541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28231716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39610F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14:paraId="654D73E2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639378" w14:textId="1641674A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1.2</w:t>
            </w:r>
            <w:r w:rsidRPr="005D2A1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.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Сетевая организация направляет заявителю уведомление,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течении 20 рабочих дней со дня получения уведомления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представить недостающие сведения (документы)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893" w:type="pct"/>
            <w:tcBorders>
              <w:bottom w:val="single" w:sz="8" w:space="0" w:color="4F81BD"/>
            </w:tcBorders>
            <w:shd w:val="clear" w:color="auto" w:fill="auto"/>
          </w:tcPr>
          <w:p w14:paraId="721D51C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9D77B23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рабочих дня со дня получения заявки</w:t>
            </w:r>
          </w:p>
        </w:tc>
        <w:tc>
          <w:tcPr>
            <w:tcW w:w="911" w:type="pct"/>
            <w:tcBorders>
              <w:bottom w:val="single" w:sz="8" w:space="0" w:color="4F81BD"/>
            </w:tcBorders>
            <w:shd w:val="clear" w:color="auto" w:fill="auto"/>
          </w:tcPr>
          <w:p w14:paraId="0A9BD5F2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15 Правил 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21BCD071" w14:textId="77777777" w:rsidTr="00150541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0A397C60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A65384E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82DE27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недостающих документов и сведений в течении 20 рабочих дней со дня получения заявки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562981" w14:textId="15902290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1.3.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Аннулирование заявки и уведомление об этом заявителя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B8302EB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13CF0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рабочих дня со дня принятия решения об аннулировании заявки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EFA41D8" w14:textId="493F03F1" w:rsidR="004D0975" w:rsidRPr="00C3060A" w:rsidRDefault="005D2A1B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15 Правил 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1BD03C33" w14:textId="77777777" w:rsidTr="00150541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639531C7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DA37801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33FC0F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DA8E49" w14:textId="558AAF93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1.4.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 же копии документов, прилагаемых к заявке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E91561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12762A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BF17E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рабочих дней со дня поступления заявки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E7C2626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п.107, 10 Правил 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0FF7C257" w14:textId="77777777" w:rsidTr="00150541">
        <w:trPr>
          <w:trHeight w:val="8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1EA23371" w14:textId="28502BCD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F9C3165" w14:textId="26AD1CE5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361FC423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соответствующая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Правилам технологического 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B44163" w14:textId="09F49D7C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>1.5.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сетевой организацией в Личном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кабинете заявителя:</w:t>
            </w:r>
          </w:p>
          <w:p w14:paraId="4D3D688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условий типового договора об осуществлении технологического присоединения к электрическим сетям;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технических условий;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счета для внесения платы за технологическое присоединение;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инструкции, содержащей последовательный перечень мероприятий, обеспечивающих безопасное осуществление заявителем фактического присоединения и фактического приема напряжения и мощности;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- проекта договора, обеспечивающего продажу электрической энергии (мощности) на розничном рынке гарантирующего поставщика, указанного в заявке.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7DFDCBB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23DC08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поступления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</w:t>
            </w:r>
          </w:p>
          <w:p w14:paraId="64BD008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CA7BAF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105 Правил технологического 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7E1FA8DC" w14:textId="77777777" w:rsidTr="00150541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2EE74E4F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AB40A35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14:paraId="67F8877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заявителем счета, выставленного сетевой организацией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471D5F1" w14:textId="265CF0E5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 xml:space="preserve">1.6.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 о заключении договора ТП</w:t>
            </w:r>
          </w:p>
          <w:p w14:paraId="5E29661A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8" w:space="0" w:color="4F81BD"/>
            </w:tcBorders>
            <w:shd w:val="clear" w:color="auto" w:fill="auto"/>
          </w:tcPr>
          <w:p w14:paraId="753ECE55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7E7962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дней со дня выставления сетевой организацией счета</w:t>
            </w:r>
          </w:p>
        </w:tc>
        <w:tc>
          <w:tcPr>
            <w:tcW w:w="911" w:type="pct"/>
            <w:tcBorders>
              <w:bottom w:val="single" w:sz="8" w:space="0" w:color="4F81BD"/>
            </w:tcBorders>
            <w:shd w:val="clear" w:color="auto" w:fill="auto"/>
          </w:tcPr>
          <w:p w14:paraId="60036AA8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106 Правил 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0FEB0C80" w14:textId="77777777" w:rsidTr="00150541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1F9E0D77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D77465B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14:paraId="33D2C66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8126A36" w14:textId="56925902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1.6.1.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Уведомление субъекта розничного рынка (указанного в заявке) об оплате счета</w:t>
            </w: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14:paraId="358158B5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34EF58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окончания рабочего дня, следующего за днем поступления сведений об оплате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14:paraId="0FCEE9C6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106 Правил 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00760FC8" w14:textId="77777777" w:rsidTr="00150541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474B4D7C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EE876B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14:paraId="271F6788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AD39B74" w14:textId="79C889EC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1.7</w:t>
            </w:r>
            <w:r w:rsidR="005D2A1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.</w:t>
            </w: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Аннулирование заявки</w:t>
            </w: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14:paraId="22FFA32F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424073C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истечении 5 дней со дня выставления сетевой организацией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14:paraId="35365560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106 Правил 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5EED2CA3" w14:textId="77777777" w:rsidTr="00150541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4C481F35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5E20CE6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14:paraId="4C158DEC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1F283AD" w14:textId="4D7DC31B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1.7.1.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Уведомление сетевой организацией субъекта розничного рынка (указанного в заявке) об аннулировании заявки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14:paraId="7FB28818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F1BF17B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истечения срока оплаты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14:paraId="6E0C0A1F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106 Правил технологического присоединения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56B746EF" w14:textId="77777777" w:rsidTr="00150541">
        <w:trPr>
          <w:trHeight w:val="4048"/>
        </w:trPr>
        <w:tc>
          <w:tcPr>
            <w:tcW w:w="167" w:type="pct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BD66047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A384F51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14:paraId="5D47DA3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 направления заявителем мотивированного отказа от подписания договора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88BAA07" w14:textId="15FD09C6" w:rsidR="004D0975" w:rsidRPr="00C3060A" w:rsidRDefault="004D0975" w:rsidP="0099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1.8.</w:t>
            </w:r>
            <w:r w:rsidR="005D2A1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  <w:r w:rsidRPr="00C30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в бумажном либо электронном виде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14:paraId="26CA12D6" w14:textId="77777777" w:rsidR="005D2A1B" w:rsidRDefault="005D2A1B" w:rsidP="0099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электронная форма договора через Личный кабинет на сайте ПАО «Россети Ленэнерго»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130DBED" w14:textId="172C3514" w:rsidR="004D0975" w:rsidRPr="00C3060A" w:rsidRDefault="004D0975" w:rsidP="0099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выдается заявителю в </w:t>
            </w:r>
            <w:r w:rsidR="005D2A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офисе обслуживания потребителей</w:t>
            </w:r>
          </w:p>
          <w:p w14:paraId="1106A8E9" w14:textId="6EE7D82E" w:rsidR="004D0975" w:rsidRPr="00C3060A" w:rsidRDefault="004D0975" w:rsidP="00997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78AA85E" w14:textId="773D5591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11" w:type="pct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14:paraId="2D6A010E" w14:textId="5644F528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0975" w:rsidRPr="00C3060A" w14:paraId="0159D543" w14:textId="77777777" w:rsidTr="004C70DB">
        <w:trPr>
          <w:trHeight w:val="7527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</w:tcPr>
          <w:p w14:paraId="6E57514E" w14:textId="6D68D5F3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F5EDDBC" w14:textId="77777777" w:rsidR="004D0975" w:rsidRPr="00C3060A" w:rsidRDefault="004D0975" w:rsidP="003A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C3060A">
              <w:rPr>
                <w:rFonts w:ascii="Times New Roman" w:hAnsi="Times New Roman" w:cs="Times New Roman"/>
                <w:sz w:val="24"/>
                <w:szCs w:val="24"/>
              </w:rPr>
              <w:t>энергопринимающими</w:t>
            </w:r>
            <w:proofErr w:type="spellEnd"/>
            <w:r w:rsidRPr="00C3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устройствами заявителя электрической энергии (мощности). Оформление документов об осуществлении технологического присоединения.</w:t>
            </w:r>
          </w:p>
          <w:p w14:paraId="26D70989" w14:textId="156D434D" w:rsidR="004D0975" w:rsidRPr="00C3060A" w:rsidRDefault="004D0975" w:rsidP="003A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4F81BD"/>
              <w:right w:val="single" w:sz="2" w:space="0" w:color="548DD4"/>
            </w:tcBorders>
            <w:shd w:val="clear" w:color="auto" w:fill="auto"/>
          </w:tcPr>
          <w:p w14:paraId="22958B56" w14:textId="77777777" w:rsidR="004D0975" w:rsidRPr="00C3060A" w:rsidRDefault="004D0975" w:rsidP="003A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вне зависимости от исполнения обязательств заявителем (кроме обязательств по оплате счета)</w:t>
            </w: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5E0F2F6B" w14:textId="07A4535A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1.9</w:t>
            </w:r>
            <w:r w:rsidRPr="005D2A1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.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079AF929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5F5552D7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6757DDBE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16,18 Правил технологического присоединения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  <w:p w14:paraId="30E2A17C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0975" w:rsidRPr="00C3060A" w14:paraId="3DE3D17B" w14:textId="77777777" w:rsidTr="00374C8D">
        <w:trPr>
          <w:trHeight w:val="695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6E571C31" w14:textId="77777777" w:rsidR="004D0975" w:rsidRPr="00C3060A" w:rsidRDefault="004D0975" w:rsidP="00727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1EE16E21" w14:textId="60184D6B" w:rsidR="004D0975" w:rsidRPr="00C3060A" w:rsidRDefault="004D0975" w:rsidP="003A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94A9D69" w14:textId="77777777" w:rsidR="004D0975" w:rsidRPr="00C3060A" w:rsidRDefault="004D0975" w:rsidP="003A5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E85B28A" w14:textId="135C77AC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1.10.</w:t>
            </w:r>
            <w:r w:rsidRPr="00C30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сетевой организацией технических условий , включая установку и допуск в эксплуатацию 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приборов учета электрической энергии и мощности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7A1F3976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1AEC6233" w14:textId="77777777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797FFB97" w14:textId="51A16E0A" w:rsidR="004D0975" w:rsidRPr="00C3060A" w:rsidRDefault="004D0975" w:rsidP="00727A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108,109, 16,18 Правил технологического присоединения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энергопринимающих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4D0975" w:rsidRPr="00C3060A" w14:paraId="33F736C0" w14:textId="77777777" w:rsidTr="00E65C4D">
        <w:trPr>
          <w:trHeight w:val="115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5E1A9CA0" w14:textId="7C509A0D" w:rsidR="004D0975" w:rsidRPr="00C3060A" w:rsidRDefault="004D0975" w:rsidP="004C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DF77FAA" w14:textId="6668CF6C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5AE978EB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9D0B93F" w14:textId="3B1EC315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1.11.</w:t>
            </w:r>
            <w:r w:rsidR="005D2A1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Размещение в личном кабинете потребителя акта допуска прибора учета в эксплуатацию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675F729C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53BCCAE0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0CBFC50D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109 Правил технологического присоединения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7EA520B5" w14:textId="77777777" w:rsidTr="00311550">
        <w:trPr>
          <w:trHeight w:val="115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2DFC31FA" w14:textId="77777777" w:rsidR="004D0975" w:rsidRPr="00C3060A" w:rsidRDefault="004D0975" w:rsidP="004C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F160F93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C604661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2478D81F" w14:textId="61508260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1.12.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Составление и размещение в личном кабинете клиента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B07F1C8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0AD35B4E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6962640C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110 Правил технологического присоединения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5D73DAC9" w14:textId="77777777" w:rsidTr="004D0975">
        <w:trPr>
          <w:trHeight w:val="114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14:paraId="1FE4C5BA" w14:textId="77777777" w:rsidR="004D0975" w:rsidRPr="00C3060A" w:rsidRDefault="004D0975" w:rsidP="004C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68241B8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4" w:space="0" w:color="4F81BD" w:themeColor="accent1"/>
              <w:right w:val="single" w:sz="2" w:space="0" w:color="548DD4"/>
            </w:tcBorders>
            <w:shd w:val="clear" w:color="auto" w:fill="auto"/>
          </w:tcPr>
          <w:p w14:paraId="6E1FFED1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5C7F82FF" w14:textId="68A68D7D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1.12.1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4" w:space="0" w:color="4F81BD" w:themeColor="accent1"/>
              <w:right w:val="single" w:sz="2" w:space="0" w:color="548DD4"/>
            </w:tcBorders>
            <w:shd w:val="clear" w:color="auto" w:fill="auto"/>
          </w:tcPr>
          <w:p w14:paraId="22D16035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4" w:space="0" w:color="4F81BD" w:themeColor="accent1"/>
              <w:right w:val="single" w:sz="2" w:space="0" w:color="548DD4"/>
            </w:tcBorders>
            <w:shd w:val="clear" w:color="auto" w:fill="auto"/>
          </w:tcPr>
          <w:p w14:paraId="5564967D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рабочего дня, в течение которого были составлены и размещены указанные документы 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4" w:space="0" w:color="4F81BD" w:themeColor="accent1"/>
              <w:right w:val="single" w:sz="2" w:space="0" w:color="548DD4"/>
            </w:tcBorders>
            <w:shd w:val="clear" w:color="auto" w:fill="auto"/>
          </w:tcPr>
          <w:p w14:paraId="0EEE0CF5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110 Правил технологического присоединения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энергопринимающих устройств потребителей электрической энергии</w:t>
            </w:r>
          </w:p>
        </w:tc>
      </w:tr>
      <w:tr w:rsidR="004D0975" w:rsidRPr="00C3060A" w14:paraId="29156238" w14:textId="77777777" w:rsidTr="004D0975">
        <w:trPr>
          <w:trHeight w:val="1140"/>
        </w:trPr>
        <w:tc>
          <w:tcPr>
            <w:tcW w:w="167" w:type="pct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2269413" w14:textId="77777777" w:rsidR="004D0975" w:rsidRPr="00C3060A" w:rsidRDefault="004D0975" w:rsidP="004C7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D0B67E9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4F81BD" w:themeColor="accent1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099E024E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0DCB27B5" w14:textId="6FD426FB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 xml:space="preserve">1.12.2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Уведомление гарантирующего поставщика о составлении и направлении в личный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кабинет клиента актов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4" w:space="0" w:color="4F81BD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5BEF52A" w14:textId="7777777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4F81BD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49D01EC1" w14:textId="31EDA537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рабочего дня, в течение которого был составлен и </w:t>
            </w: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 акт об осуществлении технологического присоединения</w:t>
            </w:r>
          </w:p>
        </w:tc>
        <w:tc>
          <w:tcPr>
            <w:tcW w:w="911" w:type="pct"/>
            <w:tcBorders>
              <w:top w:val="single" w:sz="4" w:space="0" w:color="4F81BD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14:paraId="5038AB6D" w14:textId="1299DB60" w:rsidR="004D0975" w:rsidRPr="00C3060A" w:rsidRDefault="004D0975" w:rsidP="004C7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6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 111 Правил технологического присоединения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энергопринимающих устройств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потребителей электрической энергии</w:t>
            </w:r>
          </w:p>
        </w:tc>
      </w:tr>
    </w:tbl>
    <w:p w14:paraId="56F76A4F" w14:textId="77777777" w:rsidR="00D811A8" w:rsidRPr="00C3060A" w:rsidRDefault="00D811A8" w:rsidP="00D8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6CB63E43" w14:textId="77777777" w:rsidR="00D811A8" w:rsidRDefault="00D811A8" w:rsidP="00D8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267F8588" w14:textId="77777777" w:rsidR="00D811A8" w:rsidRPr="00D811A8" w:rsidRDefault="00D811A8" w:rsidP="00D8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ОБРАЩЕНИИЙ:</w:t>
      </w:r>
      <w:r w:rsidRPr="00D811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32692F" w14:textId="77777777" w:rsidR="00D811A8" w:rsidRPr="00D811A8" w:rsidRDefault="00D811A8" w:rsidP="00D8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D8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«Россети Ленэнерго»:</w:t>
      </w:r>
      <w:r w:rsidRPr="00D81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8-800-220-0-220.</w:t>
      </w:r>
    </w:p>
    <w:p w14:paraId="79F9DB14" w14:textId="77777777" w:rsidR="00D811A8" w:rsidRPr="00D811A8" w:rsidRDefault="00D811A8" w:rsidP="00D8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</w:t>
      </w:r>
      <w:r w:rsidRPr="00D81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«Ленэнерго»:</w:t>
      </w:r>
      <w:r w:rsidRPr="00D811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D811A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office@lenenergo.ru</w:t>
        </w:r>
      </w:hyperlink>
      <w:r w:rsidRPr="00D811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569883" w14:textId="77777777" w:rsidR="00D811A8" w:rsidRPr="00D811A8" w:rsidRDefault="00D811A8" w:rsidP="00D8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>Адреса Центров обслуживания клиентов:</w:t>
      </w:r>
    </w:p>
    <w:p w14:paraId="72259202" w14:textId="77777777" w:rsidR="00D811A8" w:rsidRPr="00D811A8" w:rsidRDefault="00D811A8" w:rsidP="00D811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 xml:space="preserve">191124, Санкт-Петербург, ул. Красного Текстильщика, д. 10-12, лит. О (вход со стороны </w:t>
      </w:r>
      <w:proofErr w:type="spellStart"/>
      <w:r w:rsidRPr="00D811A8">
        <w:rPr>
          <w:rFonts w:ascii="Times New Roman" w:eastAsia="Calibri" w:hAnsi="Times New Roman" w:cs="Times New Roman"/>
          <w:sz w:val="24"/>
          <w:szCs w:val="24"/>
        </w:rPr>
        <w:t>Синопской</w:t>
      </w:r>
      <w:proofErr w:type="spellEnd"/>
      <w:r w:rsidRPr="00D811A8">
        <w:rPr>
          <w:rFonts w:ascii="Times New Roman" w:eastAsia="Calibri" w:hAnsi="Times New Roman" w:cs="Times New Roman"/>
          <w:sz w:val="24"/>
          <w:szCs w:val="24"/>
        </w:rPr>
        <w:t xml:space="preserve"> набережной); </w:t>
      </w:r>
    </w:p>
    <w:p w14:paraId="265F4E51" w14:textId="77777777" w:rsidR="00D811A8" w:rsidRPr="00D811A8" w:rsidRDefault="00D811A8" w:rsidP="00D811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 xml:space="preserve">188300, г. Гатчина, ул. Хохлова, д. 8, </w:t>
      </w:r>
      <w:proofErr w:type="spellStart"/>
      <w:r w:rsidRPr="00D811A8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D811A8">
        <w:rPr>
          <w:rFonts w:ascii="Times New Roman" w:eastAsia="Calibri" w:hAnsi="Times New Roman" w:cs="Times New Roman"/>
          <w:sz w:val="24"/>
          <w:szCs w:val="24"/>
        </w:rPr>
        <w:t>.Б</w:t>
      </w:r>
      <w:proofErr w:type="spellEnd"/>
      <w:proofErr w:type="gramEnd"/>
      <w:r w:rsidRPr="00D811A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4C348C" w14:textId="77777777" w:rsidR="00D811A8" w:rsidRPr="00D811A8" w:rsidRDefault="00D811A8" w:rsidP="00D811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>188800, г. Выборг, ул. Северный вал, д. 5;</w:t>
      </w:r>
    </w:p>
    <w:p w14:paraId="53889E66" w14:textId="77777777" w:rsidR="00D811A8" w:rsidRPr="00D811A8" w:rsidRDefault="00D811A8" w:rsidP="00D811A8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>196601, г. Пушкин, ул. Сетевая, д. 22, корп.2;</w:t>
      </w:r>
    </w:p>
    <w:p w14:paraId="3B318A18" w14:textId="77777777" w:rsidR="00D811A8" w:rsidRPr="00D811A8" w:rsidRDefault="00D811A8" w:rsidP="00D811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>187453, г. Новая Ладога, ул. Садовая, д. 25.</w:t>
      </w:r>
    </w:p>
    <w:p w14:paraId="768B88CB" w14:textId="77777777" w:rsidR="00D811A8" w:rsidRPr="00D811A8" w:rsidRDefault="00D811A8" w:rsidP="00D811A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1A8">
        <w:rPr>
          <w:rFonts w:ascii="Times New Roman" w:eastAsia="Calibri" w:hAnsi="Times New Roman" w:cs="Times New Roman"/>
          <w:sz w:val="24"/>
          <w:szCs w:val="24"/>
        </w:rPr>
        <w:t>Так же в многофункциональных центрах Ленинградской области доступна услуга по приему заявок на технологическое   присоединение к сетям «Ленэнерго». Ознакомиться с их адресами и режимами работы можно на сайте www.lenenergo.ru.</w:t>
      </w:r>
    </w:p>
    <w:p w14:paraId="620BB7EC" w14:textId="77777777" w:rsidR="00D811A8" w:rsidRPr="00D811A8" w:rsidRDefault="00D811A8" w:rsidP="00D811A8">
      <w:pPr>
        <w:autoSpaceDE w:val="0"/>
        <w:autoSpaceDN w:val="0"/>
        <w:adjustRightInd w:val="0"/>
        <w:spacing w:after="60" w:line="240" w:lineRule="auto"/>
        <w:ind w:firstLine="2268"/>
        <w:rPr>
          <w:rFonts w:ascii="Calibri" w:eastAsia="Calibri" w:hAnsi="Calibri" w:cs="Times New Roman"/>
          <w:sz w:val="24"/>
          <w:szCs w:val="24"/>
        </w:rPr>
      </w:pPr>
    </w:p>
    <w:p w14:paraId="769BD364" w14:textId="77777777" w:rsidR="00BB006A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BB006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EAEB" w14:textId="77777777" w:rsidR="00FE7313" w:rsidRDefault="00FE7313" w:rsidP="00DC7CA8">
      <w:pPr>
        <w:spacing w:after="0" w:line="240" w:lineRule="auto"/>
      </w:pPr>
      <w:r>
        <w:separator/>
      </w:r>
    </w:p>
  </w:endnote>
  <w:endnote w:type="continuationSeparator" w:id="0">
    <w:p w14:paraId="12E77C60" w14:textId="77777777" w:rsidR="00FE7313" w:rsidRDefault="00FE731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50F9" w14:textId="77777777" w:rsidR="00FE7313" w:rsidRDefault="00FE7313" w:rsidP="00DC7CA8">
      <w:pPr>
        <w:spacing w:after="0" w:line="240" w:lineRule="auto"/>
      </w:pPr>
      <w:r>
        <w:separator/>
      </w:r>
    </w:p>
  </w:footnote>
  <w:footnote w:type="continuationSeparator" w:id="0">
    <w:p w14:paraId="3FF456EA" w14:textId="77777777" w:rsidR="00FE7313" w:rsidRDefault="00FE7313" w:rsidP="00DC7CA8">
      <w:pPr>
        <w:spacing w:after="0" w:line="240" w:lineRule="auto"/>
      </w:pPr>
      <w:r>
        <w:continuationSeparator/>
      </w:r>
    </w:p>
  </w:footnote>
  <w:footnote w:id="1">
    <w:p w14:paraId="1BE5F3B8" w14:textId="77777777" w:rsidR="004D0975" w:rsidRPr="00D0706E" w:rsidRDefault="004D0975" w:rsidP="00727A82">
      <w:pPr>
        <w:pStyle w:val="ac"/>
      </w:pPr>
      <w:r w:rsidRPr="00D0706E">
        <w:rPr>
          <w:rStyle w:val="ae"/>
        </w:rPr>
        <w:footnoteRef/>
      </w:r>
      <w:r w:rsidRPr="00D0706E">
        <w:t xml:space="preserve"> </w:t>
      </w:r>
      <w:r w:rsidRPr="00D0706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650F"/>
    <w:rsid w:val="00022F24"/>
    <w:rsid w:val="0002340B"/>
    <w:rsid w:val="000245B8"/>
    <w:rsid w:val="0002598C"/>
    <w:rsid w:val="00025A82"/>
    <w:rsid w:val="00026177"/>
    <w:rsid w:val="00026E2D"/>
    <w:rsid w:val="00062760"/>
    <w:rsid w:val="000653F9"/>
    <w:rsid w:val="00073454"/>
    <w:rsid w:val="000823E4"/>
    <w:rsid w:val="000825BA"/>
    <w:rsid w:val="00094B9F"/>
    <w:rsid w:val="000C3C93"/>
    <w:rsid w:val="000D0D64"/>
    <w:rsid w:val="000E16AD"/>
    <w:rsid w:val="000E710C"/>
    <w:rsid w:val="000F7B13"/>
    <w:rsid w:val="00105BCE"/>
    <w:rsid w:val="00113255"/>
    <w:rsid w:val="001253F3"/>
    <w:rsid w:val="00127174"/>
    <w:rsid w:val="0013776B"/>
    <w:rsid w:val="00137F44"/>
    <w:rsid w:val="00142EA5"/>
    <w:rsid w:val="001452AF"/>
    <w:rsid w:val="001533DF"/>
    <w:rsid w:val="00164660"/>
    <w:rsid w:val="00166D9F"/>
    <w:rsid w:val="00181B11"/>
    <w:rsid w:val="00182892"/>
    <w:rsid w:val="00183FB9"/>
    <w:rsid w:val="00187BF5"/>
    <w:rsid w:val="0019014D"/>
    <w:rsid w:val="001917B2"/>
    <w:rsid w:val="00195358"/>
    <w:rsid w:val="001A1715"/>
    <w:rsid w:val="001A3ACB"/>
    <w:rsid w:val="001A666B"/>
    <w:rsid w:val="001A75B7"/>
    <w:rsid w:val="001A78BC"/>
    <w:rsid w:val="001B459C"/>
    <w:rsid w:val="001C5DE7"/>
    <w:rsid w:val="001D45A0"/>
    <w:rsid w:val="001D6B02"/>
    <w:rsid w:val="001F2914"/>
    <w:rsid w:val="00206CD3"/>
    <w:rsid w:val="002107A5"/>
    <w:rsid w:val="002149AA"/>
    <w:rsid w:val="00215026"/>
    <w:rsid w:val="00223CAE"/>
    <w:rsid w:val="00225818"/>
    <w:rsid w:val="00226F68"/>
    <w:rsid w:val="0022778E"/>
    <w:rsid w:val="00231805"/>
    <w:rsid w:val="00233155"/>
    <w:rsid w:val="00242530"/>
    <w:rsid w:val="00244992"/>
    <w:rsid w:val="00251BEC"/>
    <w:rsid w:val="00255533"/>
    <w:rsid w:val="0025571B"/>
    <w:rsid w:val="00255ACC"/>
    <w:rsid w:val="0028187D"/>
    <w:rsid w:val="00293F71"/>
    <w:rsid w:val="0029622E"/>
    <w:rsid w:val="002963F2"/>
    <w:rsid w:val="002978AF"/>
    <w:rsid w:val="002A16A3"/>
    <w:rsid w:val="002A3BA1"/>
    <w:rsid w:val="002A4954"/>
    <w:rsid w:val="002A5283"/>
    <w:rsid w:val="002A5552"/>
    <w:rsid w:val="002B30E8"/>
    <w:rsid w:val="002B3298"/>
    <w:rsid w:val="002C24EC"/>
    <w:rsid w:val="002C56E2"/>
    <w:rsid w:val="002D0A0C"/>
    <w:rsid w:val="002E5509"/>
    <w:rsid w:val="003063E4"/>
    <w:rsid w:val="00314ABF"/>
    <w:rsid w:val="0032200A"/>
    <w:rsid w:val="0032230E"/>
    <w:rsid w:val="00323A58"/>
    <w:rsid w:val="00326913"/>
    <w:rsid w:val="00335AD8"/>
    <w:rsid w:val="00347A15"/>
    <w:rsid w:val="003554CF"/>
    <w:rsid w:val="00363561"/>
    <w:rsid w:val="00367E41"/>
    <w:rsid w:val="003952AE"/>
    <w:rsid w:val="003959C2"/>
    <w:rsid w:val="003A5AC7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345C"/>
    <w:rsid w:val="00405B1D"/>
    <w:rsid w:val="00405E12"/>
    <w:rsid w:val="0041124A"/>
    <w:rsid w:val="00415BAE"/>
    <w:rsid w:val="00420452"/>
    <w:rsid w:val="00422D85"/>
    <w:rsid w:val="00442712"/>
    <w:rsid w:val="004435E5"/>
    <w:rsid w:val="004436B6"/>
    <w:rsid w:val="00443775"/>
    <w:rsid w:val="004477BE"/>
    <w:rsid w:val="00454DC4"/>
    <w:rsid w:val="0045597E"/>
    <w:rsid w:val="00471DAA"/>
    <w:rsid w:val="00473998"/>
    <w:rsid w:val="00474330"/>
    <w:rsid w:val="004A4D60"/>
    <w:rsid w:val="004A723F"/>
    <w:rsid w:val="004B75E4"/>
    <w:rsid w:val="004C70DB"/>
    <w:rsid w:val="004D0975"/>
    <w:rsid w:val="004D2FC8"/>
    <w:rsid w:val="004E6667"/>
    <w:rsid w:val="004F68F4"/>
    <w:rsid w:val="0051045A"/>
    <w:rsid w:val="0051352D"/>
    <w:rsid w:val="00516B81"/>
    <w:rsid w:val="00524428"/>
    <w:rsid w:val="00534E9A"/>
    <w:rsid w:val="00537818"/>
    <w:rsid w:val="005464CA"/>
    <w:rsid w:val="00550B74"/>
    <w:rsid w:val="00551A0A"/>
    <w:rsid w:val="00554588"/>
    <w:rsid w:val="00554C9D"/>
    <w:rsid w:val="0055654C"/>
    <w:rsid w:val="00557796"/>
    <w:rsid w:val="00561E99"/>
    <w:rsid w:val="0057192D"/>
    <w:rsid w:val="00571DD9"/>
    <w:rsid w:val="0058149F"/>
    <w:rsid w:val="00584BD8"/>
    <w:rsid w:val="005A676C"/>
    <w:rsid w:val="005B627E"/>
    <w:rsid w:val="005C22A7"/>
    <w:rsid w:val="005C31DE"/>
    <w:rsid w:val="005D2A1B"/>
    <w:rsid w:val="005E5AAE"/>
    <w:rsid w:val="005E5E03"/>
    <w:rsid w:val="005E6AFA"/>
    <w:rsid w:val="005F2F3E"/>
    <w:rsid w:val="006047AA"/>
    <w:rsid w:val="0061348E"/>
    <w:rsid w:val="00614532"/>
    <w:rsid w:val="00620C3D"/>
    <w:rsid w:val="00640439"/>
    <w:rsid w:val="0065173C"/>
    <w:rsid w:val="00654958"/>
    <w:rsid w:val="00654986"/>
    <w:rsid w:val="00654BBD"/>
    <w:rsid w:val="00664ED5"/>
    <w:rsid w:val="0066616F"/>
    <w:rsid w:val="00666E7C"/>
    <w:rsid w:val="006718FB"/>
    <w:rsid w:val="00675DBB"/>
    <w:rsid w:val="00677F5A"/>
    <w:rsid w:val="00683786"/>
    <w:rsid w:val="00690D12"/>
    <w:rsid w:val="00694B3D"/>
    <w:rsid w:val="006967D4"/>
    <w:rsid w:val="006A3ACA"/>
    <w:rsid w:val="006B0B35"/>
    <w:rsid w:val="006B7097"/>
    <w:rsid w:val="006C1218"/>
    <w:rsid w:val="006C5871"/>
    <w:rsid w:val="006D2EDE"/>
    <w:rsid w:val="006F10F6"/>
    <w:rsid w:val="006F2441"/>
    <w:rsid w:val="006F2514"/>
    <w:rsid w:val="006F446F"/>
    <w:rsid w:val="006F4EE6"/>
    <w:rsid w:val="0070128B"/>
    <w:rsid w:val="00725671"/>
    <w:rsid w:val="00727A82"/>
    <w:rsid w:val="00743C88"/>
    <w:rsid w:val="007511C0"/>
    <w:rsid w:val="00762B2B"/>
    <w:rsid w:val="00762B85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7F5589"/>
    <w:rsid w:val="00806C78"/>
    <w:rsid w:val="008117CC"/>
    <w:rsid w:val="00823FF3"/>
    <w:rsid w:val="008243BB"/>
    <w:rsid w:val="00824E68"/>
    <w:rsid w:val="008254DA"/>
    <w:rsid w:val="0082713E"/>
    <w:rsid w:val="008330E9"/>
    <w:rsid w:val="008408D2"/>
    <w:rsid w:val="00840BF6"/>
    <w:rsid w:val="008518C0"/>
    <w:rsid w:val="00852041"/>
    <w:rsid w:val="00857123"/>
    <w:rsid w:val="00862CD8"/>
    <w:rsid w:val="00863174"/>
    <w:rsid w:val="0086326F"/>
    <w:rsid w:val="00872538"/>
    <w:rsid w:val="008B4B15"/>
    <w:rsid w:val="008C2E25"/>
    <w:rsid w:val="008C64E4"/>
    <w:rsid w:val="008D2E8D"/>
    <w:rsid w:val="008D3144"/>
    <w:rsid w:val="008E16CB"/>
    <w:rsid w:val="009001F4"/>
    <w:rsid w:val="00900D71"/>
    <w:rsid w:val="00904E58"/>
    <w:rsid w:val="0091319A"/>
    <w:rsid w:val="00930CFF"/>
    <w:rsid w:val="00942D2D"/>
    <w:rsid w:val="00942D69"/>
    <w:rsid w:val="00945293"/>
    <w:rsid w:val="009519AC"/>
    <w:rsid w:val="00952B77"/>
    <w:rsid w:val="00963002"/>
    <w:rsid w:val="009721D0"/>
    <w:rsid w:val="00990679"/>
    <w:rsid w:val="00996EEC"/>
    <w:rsid w:val="00997232"/>
    <w:rsid w:val="009C43BD"/>
    <w:rsid w:val="009D1351"/>
    <w:rsid w:val="009D2C6A"/>
    <w:rsid w:val="009D7322"/>
    <w:rsid w:val="009E1F81"/>
    <w:rsid w:val="009E6D77"/>
    <w:rsid w:val="009F3F73"/>
    <w:rsid w:val="00A00444"/>
    <w:rsid w:val="00A22C5F"/>
    <w:rsid w:val="00A36B22"/>
    <w:rsid w:val="00A41297"/>
    <w:rsid w:val="00A43740"/>
    <w:rsid w:val="00A44E14"/>
    <w:rsid w:val="00A474DD"/>
    <w:rsid w:val="00A61E75"/>
    <w:rsid w:val="00A64A28"/>
    <w:rsid w:val="00A705D8"/>
    <w:rsid w:val="00A74029"/>
    <w:rsid w:val="00A76AA1"/>
    <w:rsid w:val="00A86E26"/>
    <w:rsid w:val="00AA1931"/>
    <w:rsid w:val="00AA24A1"/>
    <w:rsid w:val="00AA7F24"/>
    <w:rsid w:val="00AB09BB"/>
    <w:rsid w:val="00AB1D6B"/>
    <w:rsid w:val="00AC53E5"/>
    <w:rsid w:val="00AD5FA7"/>
    <w:rsid w:val="00AE08E3"/>
    <w:rsid w:val="00AE0C2C"/>
    <w:rsid w:val="00AF67C0"/>
    <w:rsid w:val="00B0063F"/>
    <w:rsid w:val="00B04094"/>
    <w:rsid w:val="00B118E9"/>
    <w:rsid w:val="00B305F1"/>
    <w:rsid w:val="00B37DA3"/>
    <w:rsid w:val="00B40D8E"/>
    <w:rsid w:val="00B500AE"/>
    <w:rsid w:val="00B564E5"/>
    <w:rsid w:val="00B6599E"/>
    <w:rsid w:val="00B77F99"/>
    <w:rsid w:val="00B8308D"/>
    <w:rsid w:val="00B84849"/>
    <w:rsid w:val="00B85CD1"/>
    <w:rsid w:val="00B86F67"/>
    <w:rsid w:val="00B947C8"/>
    <w:rsid w:val="00BA00C5"/>
    <w:rsid w:val="00BA3B00"/>
    <w:rsid w:val="00BA531D"/>
    <w:rsid w:val="00BA6F03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060A"/>
    <w:rsid w:val="00C379FF"/>
    <w:rsid w:val="00C458B0"/>
    <w:rsid w:val="00C50591"/>
    <w:rsid w:val="00C514F8"/>
    <w:rsid w:val="00C54B19"/>
    <w:rsid w:val="00C62F1F"/>
    <w:rsid w:val="00C716BB"/>
    <w:rsid w:val="00C74D96"/>
    <w:rsid w:val="00C75E65"/>
    <w:rsid w:val="00CA183B"/>
    <w:rsid w:val="00CA1C52"/>
    <w:rsid w:val="00CA1E91"/>
    <w:rsid w:val="00CC1A0A"/>
    <w:rsid w:val="00CC211B"/>
    <w:rsid w:val="00CE2CE6"/>
    <w:rsid w:val="00CE3DE2"/>
    <w:rsid w:val="00CF1785"/>
    <w:rsid w:val="00CF4E32"/>
    <w:rsid w:val="00D1019A"/>
    <w:rsid w:val="00D16795"/>
    <w:rsid w:val="00D2736F"/>
    <w:rsid w:val="00D34055"/>
    <w:rsid w:val="00D4723E"/>
    <w:rsid w:val="00D47D80"/>
    <w:rsid w:val="00D50CC7"/>
    <w:rsid w:val="00D6698F"/>
    <w:rsid w:val="00D679FC"/>
    <w:rsid w:val="00D7240F"/>
    <w:rsid w:val="00D73C9D"/>
    <w:rsid w:val="00D811A8"/>
    <w:rsid w:val="00DB45DA"/>
    <w:rsid w:val="00DC03DD"/>
    <w:rsid w:val="00DC0CE9"/>
    <w:rsid w:val="00DC7CA8"/>
    <w:rsid w:val="00DE2844"/>
    <w:rsid w:val="00DF39AF"/>
    <w:rsid w:val="00E01206"/>
    <w:rsid w:val="00E1726C"/>
    <w:rsid w:val="00E20DAF"/>
    <w:rsid w:val="00E24322"/>
    <w:rsid w:val="00E31215"/>
    <w:rsid w:val="00E36F56"/>
    <w:rsid w:val="00E46AE5"/>
    <w:rsid w:val="00E5056E"/>
    <w:rsid w:val="00E53D9B"/>
    <w:rsid w:val="00E547A4"/>
    <w:rsid w:val="00E557B2"/>
    <w:rsid w:val="00E62747"/>
    <w:rsid w:val="00E70070"/>
    <w:rsid w:val="00E70F7F"/>
    <w:rsid w:val="00E736CB"/>
    <w:rsid w:val="00E9166D"/>
    <w:rsid w:val="00E9755E"/>
    <w:rsid w:val="00EA53BE"/>
    <w:rsid w:val="00EC6F80"/>
    <w:rsid w:val="00ED42E7"/>
    <w:rsid w:val="00EE2C63"/>
    <w:rsid w:val="00EE5747"/>
    <w:rsid w:val="00F15261"/>
    <w:rsid w:val="00F238C5"/>
    <w:rsid w:val="00F30829"/>
    <w:rsid w:val="00F329CF"/>
    <w:rsid w:val="00F3393B"/>
    <w:rsid w:val="00F4184B"/>
    <w:rsid w:val="00F43976"/>
    <w:rsid w:val="00F708F0"/>
    <w:rsid w:val="00F72674"/>
    <w:rsid w:val="00F80149"/>
    <w:rsid w:val="00F8604B"/>
    <w:rsid w:val="00F87578"/>
    <w:rsid w:val="00F953F1"/>
    <w:rsid w:val="00F96BE6"/>
    <w:rsid w:val="00F97AEE"/>
    <w:rsid w:val="00FA2C50"/>
    <w:rsid w:val="00FB72A9"/>
    <w:rsid w:val="00FC139B"/>
    <w:rsid w:val="00FC1E5A"/>
    <w:rsid w:val="00FC33E3"/>
    <w:rsid w:val="00FC5848"/>
    <w:rsid w:val="00FC6035"/>
    <w:rsid w:val="00FD2E14"/>
    <w:rsid w:val="00FE0A69"/>
    <w:rsid w:val="00FE184E"/>
    <w:rsid w:val="00FE7313"/>
    <w:rsid w:val="00FF1355"/>
    <w:rsid w:val="00FF388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F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len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EC18-75F6-4FDA-8F44-30C2703B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Бугров Андрей Анатольевич</cp:lastModifiedBy>
  <cp:revision>89</cp:revision>
  <cp:lastPrinted>2020-10-14T08:53:00Z</cp:lastPrinted>
  <dcterms:created xsi:type="dcterms:W3CDTF">2020-08-17T11:32:00Z</dcterms:created>
  <dcterms:modified xsi:type="dcterms:W3CDTF">2020-10-26T07:15:00Z</dcterms:modified>
</cp:coreProperties>
</file>